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EFA32">
      <w:pPr>
        <w:adjustRightInd w:val="0"/>
        <w:snapToGrid w:val="0"/>
        <w:spacing w:beforeLines="50" w:afterLines="50" w:line="240" w:lineRule="auto"/>
        <w:jc w:val="center"/>
        <w:rPr>
          <w:rFonts w:hint="eastAsia" w:ascii="Times New Roman" w:hAnsi="Times New Roman" w:eastAsia="宋体" w:cs="Times New Roman"/>
          <w:b/>
          <w:sz w:val="28"/>
          <w:szCs w:val="28"/>
          <w:lang w:eastAsia="zh-CN"/>
        </w:rPr>
      </w:pPr>
      <w:r>
        <w:rPr>
          <w:rFonts w:hint="eastAsia" w:ascii="Times New Roman" w:hAnsi="Times New Roman" w:eastAsia="宋体" w:cs="Times New Roman"/>
          <w:b/>
          <w:sz w:val="28"/>
          <w:szCs w:val="28"/>
          <w:lang w:eastAsia="zh-CN"/>
        </w:rPr>
        <w:t xml:space="preserve">18英语1班 20181507119陈珂 </w:t>
      </w:r>
    </w:p>
    <w:p w14:paraId="39750ECE">
      <w:pPr>
        <w:pStyle w:val="5"/>
        <w:widowControl/>
        <w:tabs>
          <w:tab w:val="left" w:pos="440"/>
        </w:tabs>
        <w:adjustRightInd w:val="0"/>
        <w:snapToGrid w:val="0"/>
        <w:spacing w:line="360" w:lineRule="auto"/>
        <w:ind w:left="0" w:firstLine="562" w:firstLineChars="200"/>
        <w:jc w:val="both"/>
        <w:outlineLvl w:val="9"/>
        <w:rPr>
          <w:rFonts w:hint="eastAsia"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原文：</w:t>
      </w:r>
    </w:p>
    <w:p w14:paraId="6DCEC50F">
      <w:pPr>
        <w:pStyle w:val="5"/>
        <w:widowControl/>
        <w:tabs>
          <w:tab w:val="left" w:pos="440"/>
        </w:tabs>
        <w:adjustRightInd w:val="0"/>
        <w:snapToGrid w:val="0"/>
        <w:spacing w:line="360" w:lineRule="auto"/>
        <w:ind w:left="0" w:firstLine="562" w:firstLineChars="200"/>
        <w:jc w:val="both"/>
        <w:outlineLvl w:val="9"/>
        <w:rPr>
          <w:rFonts w:eastAsia="宋体" w:cs="Times New Roman"/>
          <w:b w:val="0"/>
          <w:bCs w:val="0"/>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Response:</w:t>
      </w:r>
    </w:p>
    <w:p w14:paraId="5608FC2B">
      <w:pPr>
        <w:pStyle w:val="2"/>
        <w:widowControl/>
        <w:tabs>
          <w:tab w:val="left" w:pos="440"/>
        </w:tabs>
        <w:adjustRightInd w:val="0"/>
        <w:snapToGrid w:val="0"/>
        <w:spacing w:line="360" w:lineRule="auto"/>
        <w:ind w:left="0" w:firstLine="560" w:firstLineChars="200"/>
        <w:jc w:val="both"/>
        <w:rPr>
          <w:rFonts w:eastAsia="宋体" w:cs="Times New Roman"/>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GVK SOP BR030 was updated on July 20, 2012 to version 08, a few months prior to the H052-12 and H053-12 BE studies, to address the Agency’s observation on documentation of acquisition errors. We inquired GVK about it. GVK indicated that acquisition errors in terms of sequence stoppage were documented per SOP BR030. All records of sequence stoppage during the bio</w:t>
      </w:r>
      <w:bookmarkStart w:id="0" w:name="_GoBack"/>
      <w:bookmarkEnd w:id="0"/>
      <w:r>
        <w:rPr>
          <w:rFonts w:eastAsia="宋体" w:cs="Times New Roman"/>
          <w:color w:val="000000" w:themeColor="text1"/>
          <w:sz w:val="28"/>
          <w:szCs w:val="28"/>
          <w14:textFill>
            <w14:solidFill>
              <w14:schemeClr w14:val="tx1"/>
            </w14:solidFill>
          </w14:textFill>
        </w:rPr>
        <w:t>analyses of H052-12 and H053-12 studies are provided as follows:</w:t>
      </w:r>
    </w:p>
    <w:p w14:paraId="284EA157">
      <w:pPr>
        <w:pStyle w:val="2"/>
        <w:widowControl/>
        <w:tabs>
          <w:tab w:val="left" w:pos="440"/>
        </w:tabs>
        <w:adjustRightInd w:val="0"/>
        <w:snapToGrid w:val="0"/>
        <w:spacing w:line="360" w:lineRule="auto"/>
        <w:ind w:left="0" w:firstLine="560" w:firstLineChars="200"/>
        <w:jc w:val="both"/>
        <w:rPr>
          <w:rFonts w:eastAsia="宋体" w:cs="Times New Roman"/>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 xml:space="preserve">Sequence stoppage and re-submission for </w:t>
      </w:r>
      <w:r>
        <w:rPr>
          <w:rFonts w:eastAsia="宋体" w:cs="Times New Roman"/>
          <w:b/>
          <w:bCs/>
          <w:color w:val="000000" w:themeColor="text1"/>
          <w:sz w:val="28"/>
          <w:szCs w:val="28"/>
          <w14:textFill>
            <w14:solidFill>
              <w14:schemeClr w14:val="tx1"/>
            </w14:solidFill>
          </w14:textFill>
        </w:rPr>
        <w:t>H052-12</w:t>
      </w:r>
      <w:r>
        <w:rPr>
          <w:rFonts w:eastAsia="宋体" w:cs="Times New Roman"/>
          <w:color w:val="000000" w:themeColor="text1"/>
          <w:sz w:val="28"/>
          <w:szCs w:val="28"/>
          <w14:textFill>
            <w14:solidFill>
              <w14:schemeClr w14:val="tx1"/>
            </w14:solidFill>
          </w14:textFill>
        </w:rPr>
        <w:t>, the fasting study in Attachement-1:</w:t>
      </w:r>
    </w:p>
    <w:p w14:paraId="47621AE1">
      <w:pPr>
        <w:pStyle w:val="2"/>
        <w:widowControl/>
        <w:numPr>
          <w:ilvl w:val="0"/>
          <w:numId w:val="1"/>
        </w:numPr>
        <w:tabs>
          <w:tab w:val="left" w:pos="440"/>
        </w:tabs>
        <w:adjustRightInd w:val="0"/>
        <w:snapToGrid w:val="0"/>
        <w:spacing w:line="360" w:lineRule="auto"/>
        <w:jc w:val="both"/>
        <w:rPr>
          <w:rFonts w:eastAsia="宋体" w:cs="Times New Roman"/>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Run 1 on LC/MS/MS instrument 4A was stopped between Injection 84 and 85, probably due to the communication issue between HPLC and LC/MS/MS, so the system was restarted and the sequence resubmitted from Injection 85.</w:t>
      </w:r>
    </w:p>
    <w:p w14:paraId="121E9C9F">
      <w:pPr>
        <w:pStyle w:val="2"/>
        <w:widowControl/>
        <w:numPr>
          <w:ilvl w:val="0"/>
          <w:numId w:val="1"/>
        </w:numPr>
        <w:tabs>
          <w:tab w:val="left" w:pos="440"/>
        </w:tabs>
        <w:adjustRightInd w:val="0"/>
        <w:snapToGrid w:val="0"/>
        <w:spacing w:line="360" w:lineRule="auto"/>
        <w:jc w:val="both"/>
        <w:rPr>
          <w:rFonts w:eastAsia="宋体" w:cs="Times New Roman"/>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Before the full sequence run of Run 21 on LC/MS/MS instrument 4A, there were stoppage twice, the first time was due to unknown software error and the second time was because the purge valve was inadvertently open. The third submission of the full sequence run of Run 21 was successful and data submitted in the ANDA.</w:t>
      </w:r>
    </w:p>
    <w:p w14:paraId="2BBE5034">
      <w:pPr>
        <w:pStyle w:val="2"/>
        <w:widowControl/>
        <w:tabs>
          <w:tab w:val="left" w:pos="440"/>
        </w:tabs>
        <w:adjustRightInd w:val="0"/>
        <w:snapToGrid w:val="0"/>
        <w:spacing w:line="360" w:lineRule="auto"/>
        <w:ind w:left="0" w:firstLine="560" w:firstLineChars="200"/>
        <w:jc w:val="both"/>
        <w:rPr>
          <w:rFonts w:eastAsia="宋体" w:cs="Times New Roman"/>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 xml:space="preserve">Sequence stoppage and re-submission for </w:t>
      </w:r>
      <w:r>
        <w:rPr>
          <w:rFonts w:eastAsia="宋体" w:cs="Times New Roman"/>
          <w:b/>
          <w:bCs/>
          <w:color w:val="000000" w:themeColor="text1"/>
          <w:sz w:val="28"/>
          <w:szCs w:val="28"/>
          <w14:textFill>
            <w14:solidFill>
              <w14:schemeClr w14:val="tx1"/>
            </w14:solidFill>
          </w14:textFill>
        </w:rPr>
        <w:t>H053-12</w:t>
      </w:r>
      <w:r>
        <w:rPr>
          <w:rFonts w:eastAsia="宋体" w:cs="Times New Roman"/>
          <w:color w:val="000000" w:themeColor="text1"/>
          <w:sz w:val="28"/>
          <w:szCs w:val="28"/>
          <w14:textFill>
            <w14:solidFill>
              <w14:schemeClr w14:val="tx1"/>
            </w14:solidFill>
          </w14:textFill>
        </w:rPr>
        <w:t xml:space="preserve">, the fasting study in </w:t>
      </w:r>
      <w:r>
        <w:rPr>
          <w:sz w:val="28"/>
          <w:szCs w:val="28"/>
        </w:rPr>
        <w:fldChar w:fldCharType="begin"/>
      </w:r>
      <w:r>
        <w:rPr>
          <w:sz w:val="28"/>
          <w:szCs w:val="28"/>
        </w:rPr>
        <w:instrText xml:space="preserve"> HYPERLINK \l "_bookmark6" </w:instrText>
      </w:r>
      <w:r>
        <w:rPr>
          <w:sz w:val="28"/>
          <w:szCs w:val="28"/>
        </w:rPr>
        <w:fldChar w:fldCharType="separate"/>
      </w:r>
      <w:r>
        <w:rPr>
          <w:rFonts w:eastAsia="宋体" w:cs="Times New Roman"/>
          <w:color w:val="000000" w:themeColor="text1"/>
          <w:sz w:val="28"/>
          <w:szCs w:val="28"/>
          <w14:textFill>
            <w14:solidFill>
              <w14:schemeClr w14:val="tx1"/>
            </w14:solidFill>
          </w14:textFill>
        </w:rPr>
        <w:t>Attachement-2</w:t>
      </w:r>
      <w:r>
        <w:rPr>
          <w:rFonts w:eastAsia="宋体" w:cs="Times New Roman"/>
          <w:color w:val="000000" w:themeColor="text1"/>
          <w:sz w:val="28"/>
          <w:szCs w:val="28"/>
          <w14:textFill>
            <w14:solidFill>
              <w14:schemeClr w14:val="tx1"/>
            </w14:solidFill>
          </w14:textFill>
        </w:rPr>
        <w:fldChar w:fldCharType="end"/>
      </w:r>
      <w:r>
        <w:rPr>
          <w:rFonts w:eastAsia="宋体" w:cs="Times New Roman"/>
          <w:color w:val="000000" w:themeColor="text1"/>
          <w:sz w:val="28"/>
          <w:szCs w:val="28"/>
          <w14:textFill>
            <w14:solidFill>
              <w14:schemeClr w14:val="tx1"/>
            </w14:solidFill>
          </w14:textFill>
        </w:rPr>
        <w:t>:</w:t>
      </w:r>
    </w:p>
    <w:p w14:paraId="67C5B786">
      <w:pPr>
        <w:pStyle w:val="2"/>
        <w:widowControl/>
        <w:numPr>
          <w:ilvl w:val="0"/>
          <w:numId w:val="2"/>
        </w:numPr>
        <w:tabs>
          <w:tab w:val="left" w:pos="440"/>
        </w:tabs>
        <w:adjustRightInd w:val="0"/>
        <w:snapToGrid w:val="0"/>
        <w:spacing w:line="360" w:lineRule="auto"/>
        <w:jc w:val="both"/>
        <w:rPr>
          <w:rFonts w:eastAsia="宋体" w:cs="Times New Roman"/>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Run 32 on LC/MS/MS instrument 3 was stopped between Injection 72 and 73 due to significant back pressure of column, so the system was restarted and the sequence resubmitted from Injection 73 after changing the peak tubing’s of the HPLC.</w:t>
      </w:r>
    </w:p>
    <w:p w14:paraId="7A18D832">
      <w:pPr>
        <w:pStyle w:val="2"/>
        <w:widowControl/>
        <w:numPr>
          <w:ilvl w:val="0"/>
          <w:numId w:val="2"/>
        </w:numPr>
        <w:tabs>
          <w:tab w:val="left" w:pos="440"/>
        </w:tabs>
        <w:adjustRightInd w:val="0"/>
        <w:snapToGrid w:val="0"/>
        <w:spacing w:line="360" w:lineRule="auto"/>
        <w:jc w:val="both"/>
        <w:rPr>
          <w:rFonts w:eastAsia="宋体" w:cs="Times New Roman"/>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Run 19 on LC/MS/MS instrument 3 was stopped between Injection 58 and 59:</w:t>
      </w:r>
      <w:r>
        <w:rPr>
          <w:rFonts w:eastAsia="宋体" w:cs="Times New Roman"/>
          <w:color w:val="000000" w:themeColor="text1"/>
          <w:sz w:val="28"/>
          <w:szCs w:val="28"/>
          <w:lang w:eastAsia="zh-CN"/>
          <w14:textFill>
            <w14:solidFill>
              <w14:schemeClr w14:val="tx1"/>
            </w14:solidFill>
          </w14:textFill>
        </w:rPr>
        <w:t xml:space="preserve"> </w:t>
      </w:r>
      <w:r>
        <w:rPr>
          <w:rFonts w:eastAsia="宋体" w:cs="Times New Roman"/>
          <w:color w:val="000000" w:themeColor="text1"/>
          <w:sz w:val="28"/>
          <w:szCs w:val="28"/>
          <w14:textFill>
            <w14:solidFill>
              <w14:schemeClr w14:val="tx1"/>
            </w14:solidFill>
          </w14:textFill>
        </w:rPr>
        <w:t>During the acquisition of Run19 the auto sampler tray was inadvertently removed by the analyst with an intention of loading the Run 20 samples in the second tray. This was identified when the sequence was stopped automatically with acquisition error, therefore the sequence was resubmitted from Injection 59.</w:t>
      </w:r>
    </w:p>
    <w:p w14:paraId="6C919D5A">
      <w:pPr>
        <w:pStyle w:val="2"/>
        <w:widowControl/>
        <w:numPr>
          <w:ilvl w:val="0"/>
          <w:numId w:val="2"/>
        </w:numPr>
        <w:tabs>
          <w:tab w:val="left" w:pos="440"/>
        </w:tabs>
        <w:adjustRightInd w:val="0"/>
        <w:snapToGrid w:val="0"/>
        <w:spacing w:line="360" w:lineRule="auto"/>
        <w:jc w:val="both"/>
        <w:rPr>
          <w:rFonts w:eastAsia="宋体" w:cs="Times New Roman"/>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Before the full sequence run of Run 4 on LC/MS/MS instrument 3, there were errors in input of the rack position, plate code and plate position. So the full sequence was stopped re-submitted from Injection 1 again.</w:t>
      </w:r>
    </w:p>
    <w:p w14:paraId="6B9DDA76">
      <w:pPr>
        <w:pStyle w:val="2"/>
        <w:widowControl/>
        <w:numPr>
          <w:ilvl w:val="0"/>
          <w:numId w:val="2"/>
        </w:numPr>
        <w:tabs>
          <w:tab w:val="left" w:pos="440"/>
        </w:tabs>
        <w:adjustRightInd w:val="0"/>
        <w:snapToGrid w:val="0"/>
        <w:spacing w:line="360" w:lineRule="auto"/>
        <w:jc w:val="both"/>
        <w:rPr>
          <w:rFonts w:eastAsia="宋体" w:cs="Times New Roman"/>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Before the full sequence run of Run 7 on LC/MS/MS instrument 3, carryover of AQSTD was observed due to air filter blockage. The full sequence run was resubmitted after sonication of the air filters.</w:t>
      </w:r>
    </w:p>
    <w:p w14:paraId="4F8D0179">
      <w:pPr>
        <w:pStyle w:val="2"/>
        <w:widowControl/>
        <w:tabs>
          <w:tab w:val="left" w:pos="440"/>
        </w:tabs>
        <w:adjustRightInd w:val="0"/>
        <w:snapToGrid w:val="0"/>
        <w:spacing w:line="360" w:lineRule="auto"/>
        <w:ind w:left="0" w:firstLine="560" w:firstLineChars="200"/>
        <w:jc w:val="both"/>
        <w:rPr>
          <w:rFonts w:eastAsia="宋体" w:cs="Times New Roman"/>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 xml:space="preserve">In the mean time, Prinston went through the 100% chromatograms of H052-12 and H053-12 studies and the accompanying records, identified some </w:t>
      </w:r>
      <w:r>
        <w:rPr>
          <w:rFonts w:eastAsia="宋体" w:cs="Times New Roman"/>
          <w:color w:val="000000" w:themeColor="text1"/>
          <w:sz w:val="28"/>
          <w:szCs w:val="28"/>
          <w:u w:val="single" w:color="000000"/>
          <w14:textFill>
            <w14:solidFill>
              <w14:schemeClr w14:val="tx1"/>
            </w14:solidFill>
          </w14:textFill>
        </w:rPr>
        <w:t xml:space="preserve">potential </w:t>
      </w:r>
      <w:r>
        <w:rPr>
          <w:rFonts w:eastAsia="宋体" w:cs="Times New Roman"/>
          <w:color w:val="000000" w:themeColor="text1"/>
          <w:sz w:val="28"/>
          <w:szCs w:val="28"/>
          <w14:textFill>
            <w14:solidFill>
              <w14:schemeClr w14:val="tx1"/>
            </w14:solidFill>
          </w14:textFill>
        </w:rPr>
        <w:t>concerns whereby the sequence run didn’t seem to be conducted or processed perfectly, and asked GVK for explanation or clarification as indicated in Table 5-1 and Table 5-2 above. GVK did respond these specific questions to our satisfactory as follows:</w:t>
      </w:r>
    </w:p>
    <w:p w14:paraId="31E59480">
      <w:pPr>
        <w:pStyle w:val="2"/>
        <w:widowControl/>
        <w:tabs>
          <w:tab w:val="left" w:pos="440"/>
        </w:tabs>
        <w:adjustRightInd w:val="0"/>
        <w:snapToGrid w:val="0"/>
        <w:spacing w:line="360" w:lineRule="auto"/>
        <w:ind w:left="0" w:firstLine="560" w:firstLineChars="200"/>
        <w:jc w:val="both"/>
        <w:rPr>
          <w:rFonts w:eastAsia="宋体" w:cs="Times New Roman"/>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 xml:space="preserve">The </w:t>
      </w:r>
      <w:r>
        <w:rPr>
          <w:rFonts w:eastAsia="宋体" w:cs="Times New Roman"/>
          <w:color w:val="000000" w:themeColor="text1"/>
          <w:sz w:val="28"/>
          <w:szCs w:val="28"/>
          <w:u w:val="single" w:color="000000"/>
          <w14:textFill>
            <w14:solidFill>
              <w14:schemeClr w14:val="tx1"/>
            </w14:solidFill>
          </w14:textFill>
        </w:rPr>
        <w:t xml:space="preserve">potential </w:t>
      </w:r>
      <w:r>
        <w:rPr>
          <w:rFonts w:eastAsia="宋体" w:cs="Times New Roman"/>
          <w:color w:val="000000" w:themeColor="text1"/>
          <w:sz w:val="28"/>
          <w:szCs w:val="28"/>
          <w14:textFill>
            <w14:solidFill>
              <w14:schemeClr w14:val="tx1"/>
            </w14:solidFill>
          </w14:textFill>
        </w:rPr>
        <w:t xml:space="preserve">concerns in data acquisition for </w:t>
      </w:r>
      <w:r>
        <w:rPr>
          <w:rFonts w:eastAsia="宋体" w:cs="Times New Roman"/>
          <w:b/>
          <w:bCs/>
          <w:color w:val="000000" w:themeColor="text1"/>
          <w:sz w:val="28"/>
          <w:szCs w:val="28"/>
          <w14:textFill>
            <w14:solidFill>
              <w14:schemeClr w14:val="tx1"/>
            </w14:solidFill>
          </w14:textFill>
        </w:rPr>
        <w:t>H052-12</w:t>
      </w:r>
      <w:r>
        <w:rPr>
          <w:rFonts w:eastAsia="宋体" w:cs="Times New Roman"/>
          <w:color w:val="000000" w:themeColor="text1"/>
          <w:sz w:val="28"/>
          <w:szCs w:val="28"/>
          <w14:textFill>
            <w14:solidFill>
              <w14:schemeClr w14:val="tx1"/>
            </w14:solidFill>
          </w14:textFill>
        </w:rPr>
        <w:t>, the fasting study:</w:t>
      </w:r>
    </w:p>
    <w:p w14:paraId="2C5057ED">
      <w:pPr>
        <w:pStyle w:val="6"/>
        <w:widowControl/>
        <w:numPr>
          <w:ilvl w:val="0"/>
          <w:numId w:val="3"/>
        </w:numPr>
        <w:tabs>
          <w:tab w:val="left" w:pos="440"/>
        </w:tabs>
        <w:adjustRightInd w:val="0"/>
        <w:snapToGrid w:val="0"/>
        <w:spacing w:line="360" w:lineRule="auto"/>
        <w:jc w:val="both"/>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i/>
          <w:color w:val="000000" w:themeColor="text1"/>
          <w:sz w:val="28"/>
          <w:szCs w:val="28"/>
          <w14:textFill>
            <w14:solidFill>
              <w14:schemeClr w14:val="tx1"/>
            </w14:solidFill>
          </w14:textFill>
        </w:rPr>
        <w:t>Why was there data re-processing for Valsartan in Run 22 for Subject 52&amp;53</w:t>
      </w:r>
      <w:r>
        <w:rPr>
          <w:rFonts w:ascii="Times New Roman" w:hAnsi="Times New Roman" w:eastAsia="宋体" w:cs="Times New Roman"/>
          <w:color w:val="000000" w:themeColor="text1"/>
          <w:sz w:val="28"/>
          <w:szCs w:val="28"/>
          <w14:textFill>
            <w14:solidFill>
              <w14:schemeClr w14:val="tx1"/>
            </w14:solidFill>
          </w14:textFill>
        </w:rPr>
        <w:t>: During data review, the analyst found that the Period 1 at 4.5 hour sample of Subject No. 53 was not integrated for Valsartan due to slight shift in retention times of drug and</w:t>
      </w:r>
      <w:r>
        <w:rPr>
          <w:rFonts w:ascii="Times New Roman" w:hAnsi="Times New Roman" w:eastAsia="宋体" w:cs="Times New Roman"/>
          <w:color w:val="000000" w:themeColor="text1"/>
          <w:sz w:val="28"/>
          <w:szCs w:val="28"/>
          <w:lang w:eastAsia="zh-CN"/>
          <w14:textFill>
            <w14:solidFill>
              <w14:schemeClr w14:val="tx1"/>
            </w14:solidFill>
          </w14:textFill>
        </w:rPr>
        <w:t xml:space="preserve"> </w:t>
      </w:r>
      <w:r>
        <w:rPr>
          <w:rFonts w:ascii="Times New Roman" w:hAnsi="Times New Roman" w:eastAsia="宋体" w:cs="Times New Roman"/>
          <w:color w:val="000000" w:themeColor="text1"/>
          <w:sz w:val="28"/>
          <w:szCs w:val="28"/>
          <w14:textFill>
            <w14:solidFill>
              <w14:schemeClr w14:val="tx1"/>
            </w14:solidFill>
          </w14:textFill>
        </w:rPr>
        <w:t>internal standard. The shift in the retention time is within the limits per the Method SOP,</w:t>
      </w:r>
      <w:r>
        <w:rPr>
          <w:rFonts w:ascii="Times New Roman" w:hAnsi="Times New Roman" w:eastAsia="宋体" w:cs="Times New Roman"/>
          <w:color w:val="000000" w:themeColor="text1"/>
          <w:sz w:val="28"/>
          <w:szCs w:val="28"/>
          <w:lang w:eastAsia="zh-CN"/>
          <w14:textFill>
            <w14:solidFill>
              <w14:schemeClr w14:val="tx1"/>
            </w14:solidFill>
          </w14:textFill>
        </w:rPr>
        <w:t xml:space="preserve"> </w:t>
      </w:r>
      <w:r>
        <w:rPr>
          <w:rFonts w:ascii="Times New Roman" w:hAnsi="Times New Roman" w:eastAsia="宋体" w:cs="Times New Roman"/>
          <w:color w:val="000000" w:themeColor="text1"/>
          <w:sz w:val="28"/>
          <w:szCs w:val="28"/>
          <w14:textFill>
            <w14:solidFill>
              <w14:schemeClr w14:val="tx1"/>
            </w14:solidFill>
          </w14:textFill>
        </w:rPr>
        <w:t>so considered as acceptable. To integrate this sample the integration parameters were modified and the entire batch was reintegrated for consistency across all samples. Since the calculation of drug concentration in a given sample depends on the peak area ratio of drug over internal standard, and slight shift in retention time for both drug and internal standard was observed, this data re-processing will not affect the passing BE results of fasting study H052-12.</w:t>
      </w:r>
    </w:p>
    <w:p w14:paraId="0B8F5837">
      <w:pPr>
        <w:pStyle w:val="2"/>
        <w:widowControl/>
        <w:numPr>
          <w:ilvl w:val="0"/>
          <w:numId w:val="3"/>
        </w:numPr>
        <w:tabs>
          <w:tab w:val="left" w:pos="440"/>
        </w:tabs>
        <w:adjustRightInd w:val="0"/>
        <w:snapToGrid w:val="0"/>
        <w:spacing w:line="360" w:lineRule="auto"/>
        <w:jc w:val="both"/>
        <w:rPr>
          <w:rFonts w:eastAsia="宋体" w:cs="Times New Roman"/>
          <w:color w:val="000000" w:themeColor="text1"/>
          <w:sz w:val="28"/>
          <w:szCs w:val="28"/>
          <w14:textFill>
            <w14:solidFill>
              <w14:schemeClr w14:val="tx1"/>
            </w14:solidFill>
          </w14:textFill>
        </w:rPr>
      </w:pPr>
      <w:r>
        <w:rPr>
          <w:rFonts w:eastAsia="宋体" w:cs="Times New Roman"/>
          <w:i/>
          <w:color w:val="000000" w:themeColor="text1"/>
          <w:sz w:val="28"/>
          <w:szCs w:val="28"/>
          <w14:textFill>
            <w14:solidFill>
              <w14:schemeClr w14:val="tx1"/>
            </w14:solidFill>
          </w14:textFill>
        </w:rPr>
        <w:t xml:space="preserve">Why Run 28 for repeated analyses of Subject 02&amp;03 failed Valsartan calibration curve: </w:t>
      </w:r>
      <w:r>
        <w:rPr>
          <w:rFonts w:eastAsia="宋体" w:cs="Times New Roman"/>
          <w:color w:val="000000" w:themeColor="text1"/>
          <w:sz w:val="28"/>
          <w:szCs w:val="28"/>
          <w14:textFill>
            <w14:solidFill>
              <w14:schemeClr w14:val="tx1"/>
            </w14:solidFill>
          </w14:textFill>
        </w:rPr>
        <w:t>After an investigation, GVK thinks that the failure in Valsartan calibration curve was probably due to some sample preparation errors which could occur during pipetting of plasma sample into vial, addition of internal standard, addition of extraction solvent, vortexing, transfer of supernatant, evaporation and reconstitution of the residue. The failure was not due to analytical errors such as poor chromatography and or internal standard variation. The possible sample preparation error didn’t occur for HCTZ analyses, per SOP BR016 for Project Sample Analysis, Data Checkup and Acceptance Criteria, the data generated for HCTZ was accepted, whereas Valsartan was to be re- analyzed for subject 02&amp;03.</w:t>
      </w:r>
    </w:p>
    <w:p w14:paraId="2F4520E0">
      <w:pPr>
        <w:pStyle w:val="2"/>
        <w:widowControl/>
        <w:numPr>
          <w:ilvl w:val="0"/>
          <w:numId w:val="0"/>
        </w:numPr>
        <w:tabs>
          <w:tab w:val="left" w:pos="440"/>
        </w:tabs>
        <w:adjustRightInd w:val="0"/>
        <w:snapToGrid w:val="0"/>
        <w:spacing w:line="360" w:lineRule="auto"/>
        <w:jc w:val="both"/>
        <w:rPr>
          <w:rFonts w:eastAsia="宋体" w:cs="Times New Roman"/>
          <w:color w:val="000000" w:themeColor="text1"/>
          <w:sz w:val="28"/>
          <w:szCs w:val="28"/>
          <w14:textFill>
            <w14:solidFill>
              <w14:schemeClr w14:val="tx1"/>
            </w14:solidFill>
          </w14:textFill>
        </w:rPr>
      </w:pPr>
    </w:p>
    <w:p w14:paraId="3B53D476">
      <w:pPr>
        <w:pStyle w:val="2"/>
        <w:widowControl/>
        <w:numPr>
          <w:ilvl w:val="0"/>
          <w:numId w:val="0"/>
        </w:numPr>
        <w:tabs>
          <w:tab w:val="left" w:pos="440"/>
        </w:tabs>
        <w:adjustRightInd w:val="0"/>
        <w:snapToGrid w:val="0"/>
        <w:spacing w:line="360" w:lineRule="auto"/>
        <w:jc w:val="both"/>
        <w:rPr>
          <w:rFonts w:hint="eastAsia"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译文：</w:t>
      </w:r>
    </w:p>
    <w:p w14:paraId="7F563AD9">
      <w:pPr>
        <w:pStyle w:val="5"/>
        <w:widowControl/>
        <w:tabs>
          <w:tab w:val="left" w:pos="440"/>
        </w:tabs>
        <w:adjustRightInd w:val="0"/>
        <w:snapToGrid w:val="0"/>
        <w:spacing w:line="360" w:lineRule="auto"/>
        <w:ind w:left="0" w:firstLine="562" w:firstLineChars="200"/>
        <w:jc w:val="both"/>
        <w:outlineLvl w:val="9"/>
        <w:rPr>
          <w:rFonts w:ascii="宋体" w:hAnsi="宋体" w:eastAsia="宋体"/>
          <w:b w:val="0"/>
          <w:bCs w:val="0"/>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回应:</w:t>
      </w:r>
    </w:p>
    <w:p w14:paraId="35023861">
      <w:pPr>
        <w:pStyle w:val="2"/>
        <w:widowControl/>
        <w:tabs>
          <w:tab w:val="left" w:pos="440"/>
        </w:tabs>
        <w:adjustRightInd w:val="0"/>
        <w:snapToGrid w:val="0"/>
        <w:spacing w:line="360" w:lineRule="auto"/>
        <w:ind w:left="0" w:firstLine="560" w:firstLineChars="200"/>
        <w:jc w:val="both"/>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GVK SOP BR030于2012年7月20日更新为版本08，比H052-12和H053-12 BE研究早几个月，以解决机构对采集错误记录的观察。我们向GVK询问了这件事。GVK表示，按照SOP BR030记录了顺序停止方面的采集错误。H052-12和H053-12研究的生物分析期间序列停止的所有记录如下:</w:t>
      </w:r>
    </w:p>
    <w:p w14:paraId="512F4363">
      <w:pPr>
        <w:pStyle w:val="2"/>
        <w:widowControl/>
        <w:tabs>
          <w:tab w:val="left" w:pos="440"/>
        </w:tabs>
        <w:adjustRightInd w:val="0"/>
        <w:snapToGrid w:val="0"/>
        <w:spacing w:line="360" w:lineRule="auto"/>
        <w:ind w:left="0" w:firstLine="560" w:firstLineChars="200"/>
        <w:jc w:val="both"/>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H052-12的序列中止和重新提交，附件-1中的空腹研究:</w:t>
      </w:r>
    </w:p>
    <w:p w14:paraId="33C1544E">
      <w:pPr>
        <w:pStyle w:val="2"/>
        <w:widowControl/>
        <w:numPr>
          <w:ilvl w:val="0"/>
          <w:numId w:val="1"/>
        </w:numPr>
        <w:tabs>
          <w:tab w:val="left" w:pos="440"/>
        </w:tabs>
        <w:adjustRightInd w:val="0"/>
        <w:snapToGrid w:val="0"/>
        <w:spacing w:line="360" w:lineRule="auto"/>
        <w:jc w:val="both"/>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在注射84和85之间停止了LC/MS/MS仪器4A上的运行1，可能是由于HPLC和LC/MS/MS之间的通信问题，因此重新启动了系统，并从注射85重新提交了序列。</w:t>
      </w:r>
    </w:p>
    <w:p w14:paraId="7854D6E3">
      <w:pPr>
        <w:pStyle w:val="2"/>
        <w:widowControl/>
        <w:numPr>
          <w:ilvl w:val="0"/>
          <w:numId w:val="1"/>
        </w:numPr>
        <w:tabs>
          <w:tab w:val="left" w:pos="440"/>
        </w:tabs>
        <w:adjustRightInd w:val="0"/>
        <w:snapToGrid w:val="0"/>
        <w:spacing w:line="360" w:lineRule="auto"/>
        <w:jc w:val="both"/>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在LC/MS/MS仪器4A上运行21的全序列运行之前，有两次停机，第一次是由于未知的软件错误，第二次是由于吹扫阀意外打开。第三次提交运行21的完整序列运行是成功的，数据是在ANDA提交的。</w:t>
      </w:r>
    </w:p>
    <w:p w14:paraId="64203205">
      <w:pPr>
        <w:pStyle w:val="2"/>
        <w:widowControl/>
        <w:tabs>
          <w:tab w:val="left" w:pos="440"/>
        </w:tabs>
        <w:adjustRightInd w:val="0"/>
        <w:snapToGrid w:val="0"/>
        <w:spacing w:line="360" w:lineRule="auto"/>
        <w:ind w:left="0" w:firstLine="560" w:firstLineChars="200"/>
        <w:jc w:val="both"/>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H053-12中空腹研究的顺序中止和重新提交</w:t>
      </w:r>
      <w:r>
        <w:rPr>
          <w:rFonts w:ascii="宋体" w:hAnsi="宋体" w:eastAsia="宋体"/>
          <w:sz w:val="28"/>
          <w:szCs w:val="28"/>
        </w:rPr>
        <w:fldChar w:fldCharType="begin"/>
      </w:r>
      <w:r>
        <w:rPr>
          <w:rFonts w:ascii="宋体" w:hAnsi="宋体" w:eastAsia="宋体"/>
          <w:sz w:val="28"/>
          <w:szCs w:val="28"/>
        </w:rPr>
        <w:instrText xml:space="preserve"> HYPERLINK \l "_bookmark6" </w:instrText>
      </w:r>
      <w:r>
        <w:rPr>
          <w:rFonts w:ascii="宋体" w:hAnsi="宋体" w:eastAsia="宋体"/>
          <w:sz w:val="28"/>
          <w:szCs w:val="28"/>
        </w:rPr>
        <w:fldChar w:fldCharType="separate"/>
      </w:r>
      <w:r>
        <w:rPr>
          <w:rFonts w:ascii="宋体" w:hAnsi="宋体" w:eastAsia="宋体"/>
          <w:color w:val="000000" w:themeColor="text1"/>
          <w:sz w:val="28"/>
          <w:szCs w:val="28"/>
          <w14:textFill>
            <w14:solidFill>
              <w14:schemeClr w14:val="tx1"/>
            </w14:solidFill>
          </w14:textFill>
        </w:rPr>
        <w:t>附件-2</w:t>
      </w:r>
      <w:r>
        <w:rPr>
          <w:rFonts w:ascii="宋体" w:hAnsi="宋体" w:eastAsia="宋体"/>
          <w:color w:val="000000" w:themeColor="text1"/>
          <w:sz w:val="28"/>
          <w:szCs w:val="28"/>
          <w14:textFill>
            <w14:solidFill>
              <w14:schemeClr w14:val="tx1"/>
            </w14:solidFill>
          </w14:textFill>
        </w:rPr>
        <w:fldChar w:fldCharType="end"/>
      </w:r>
      <w:r>
        <w:rPr>
          <w:rFonts w:ascii="宋体" w:hAnsi="宋体" w:eastAsia="宋体"/>
          <w:color w:val="000000" w:themeColor="text1"/>
          <w:sz w:val="28"/>
          <w:szCs w:val="28"/>
          <w14:textFill>
            <w14:solidFill>
              <w14:schemeClr w14:val="tx1"/>
            </w14:solidFill>
          </w14:textFill>
        </w:rPr>
        <w:t>：</w:t>
      </w:r>
    </w:p>
    <w:p w14:paraId="43A08FA1">
      <w:pPr>
        <w:pStyle w:val="2"/>
        <w:widowControl/>
        <w:numPr>
          <w:ilvl w:val="0"/>
          <w:numId w:val="2"/>
        </w:numPr>
        <w:tabs>
          <w:tab w:val="left" w:pos="440"/>
        </w:tabs>
        <w:adjustRightInd w:val="0"/>
        <w:snapToGrid w:val="0"/>
        <w:spacing w:line="360" w:lineRule="auto"/>
        <w:jc w:val="both"/>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由于柱的背压很大，在注射72和73之间停止了LC/MS/MS仪器3的运行32，因此重新启动了系统，并在更换HPLC的峰管之后从注射73重新提交了序列。</w:t>
      </w:r>
    </w:p>
    <w:p w14:paraId="34766FD5">
      <w:pPr>
        <w:pStyle w:val="2"/>
        <w:widowControl/>
        <w:numPr>
          <w:ilvl w:val="0"/>
          <w:numId w:val="2"/>
        </w:numPr>
        <w:tabs>
          <w:tab w:val="left" w:pos="440"/>
        </w:tabs>
        <w:adjustRightInd w:val="0"/>
        <w:snapToGrid w:val="0"/>
        <w:spacing w:line="360" w:lineRule="auto"/>
        <w:jc w:val="both"/>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在注射58和59之间停止LC/MS/MS仪器3上的运行19:在采集运行19期间，分析员无意中移除了自动进样器托盘，目的是将运行20的样本装载到第二个托盘中。当序列因采集错误而自动停止时进行了识别，因此从注射59重新提交了序列。</w:t>
      </w:r>
    </w:p>
    <w:p w14:paraId="4F707E12">
      <w:pPr>
        <w:pStyle w:val="2"/>
        <w:widowControl/>
        <w:numPr>
          <w:ilvl w:val="0"/>
          <w:numId w:val="2"/>
        </w:numPr>
        <w:tabs>
          <w:tab w:val="left" w:pos="440"/>
        </w:tabs>
        <w:adjustRightInd w:val="0"/>
        <w:snapToGrid w:val="0"/>
        <w:spacing w:line="360" w:lineRule="auto"/>
        <w:jc w:val="both"/>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在LC/MS/MS仪器3上运行4的完整序列运行之前，输入的试管架位置、板代码和板位置存在错误。因此，停止完整序列，并再次从注射1重新提交。</w:t>
      </w:r>
    </w:p>
    <w:p w14:paraId="422DFC6F">
      <w:pPr>
        <w:pStyle w:val="2"/>
        <w:widowControl/>
        <w:numPr>
          <w:ilvl w:val="0"/>
          <w:numId w:val="2"/>
        </w:numPr>
        <w:tabs>
          <w:tab w:val="left" w:pos="440"/>
        </w:tabs>
        <w:adjustRightInd w:val="0"/>
        <w:snapToGrid w:val="0"/>
        <w:spacing w:line="360" w:lineRule="auto"/>
        <w:jc w:val="both"/>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在LC/MS/MS仪器3上运行7的全序列运行之前，由于空气过滤器堵塞，观察到AQSTD的结转。对空气过滤器进行超声处理后，重新提交了完整序列运行。</w:t>
      </w:r>
    </w:p>
    <w:p w14:paraId="761C9071">
      <w:pPr>
        <w:pStyle w:val="2"/>
        <w:widowControl/>
        <w:tabs>
          <w:tab w:val="left" w:pos="440"/>
        </w:tabs>
        <w:adjustRightInd w:val="0"/>
        <w:snapToGrid w:val="0"/>
        <w:spacing w:line="360" w:lineRule="auto"/>
        <w:ind w:left="0" w:firstLine="560" w:firstLineChars="200"/>
        <w:jc w:val="both"/>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与此同时，普林斯顿查看了H052-12和H053-12研究的100%色谱图及随附记录，确定了序列运行似乎未得到完美执行或处理的一些潜在问题，并要求GVK做出解释或澄清，如上文表5-1和表5-2所示。GVK确实对这些具体问题作出了令我们满意的如下答复:</w:t>
      </w:r>
    </w:p>
    <w:p w14:paraId="081FDFE4">
      <w:pPr>
        <w:pStyle w:val="2"/>
        <w:widowControl/>
        <w:tabs>
          <w:tab w:val="left" w:pos="440"/>
        </w:tabs>
        <w:adjustRightInd w:val="0"/>
        <w:snapToGrid w:val="0"/>
        <w:spacing w:line="360" w:lineRule="auto"/>
        <w:ind w:left="0" w:firstLine="560" w:firstLineChars="200"/>
        <w:jc w:val="both"/>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H052-12，空腹研究，数据采集中的潜在问题:</w:t>
      </w:r>
    </w:p>
    <w:p w14:paraId="476DDA9E">
      <w:pPr>
        <w:pStyle w:val="6"/>
        <w:widowControl/>
        <w:numPr>
          <w:ilvl w:val="0"/>
          <w:numId w:val="3"/>
        </w:numPr>
        <w:tabs>
          <w:tab w:val="left" w:pos="440"/>
        </w:tabs>
        <w:adjustRightInd w:val="0"/>
        <w:snapToGrid w:val="0"/>
        <w:spacing w:line="360" w:lineRule="auto"/>
        <w:jc w:val="both"/>
        <w:rPr>
          <w:rFonts w:ascii="宋体" w:hAnsi="宋体" w:eastAsia="宋体"/>
          <w:i w:val="0"/>
          <w:iCs/>
          <w:color w:val="000000" w:themeColor="text1"/>
          <w:sz w:val="28"/>
          <w:szCs w:val="28"/>
          <w14:textFill>
            <w14:solidFill>
              <w14:schemeClr w14:val="tx1"/>
            </w14:solidFill>
          </w14:textFill>
        </w:rPr>
      </w:pPr>
      <w:r>
        <w:rPr>
          <w:rFonts w:ascii="宋体" w:hAnsi="宋体" w:eastAsia="宋体"/>
          <w:i/>
          <w:color w:val="000000" w:themeColor="text1"/>
          <w:sz w:val="28"/>
          <w:szCs w:val="28"/>
          <w14:textFill>
            <w14:solidFill>
              <w14:schemeClr w14:val="tx1"/>
            </w14:solidFill>
          </w14:textFill>
        </w:rPr>
        <w:t>为什么要对受试者52和53的运行22中的缬沙坦数据进行再处理:</w:t>
      </w:r>
      <w:r>
        <w:rPr>
          <w:rFonts w:ascii="宋体" w:hAnsi="宋体" w:eastAsia="宋体"/>
          <w:i w:val="0"/>
          <w:iCs/>
          <w:color w:val="000000" w:themeColor="text1"/>
          <w:sz w:val="28"/>
          <w:szCs w:val="28"/>
          <w14:textFill>
            <w14:solidFill>
              <w14:schemeClr w14:val="tx1"/>
            </w14:solidFill>
          </w14:textFill>
        </w:rPr>
        <w:t>在数据审查期间，分析员发现，由于药物和内标物的保留时间略有变化，因此未对受试者53的4.5小时期间1样本进行缬沙坦整合。保留时间的变化在方法SOP规定的限度内，因此被认为是可接受的。为了整合该样本，对整合参数进行了修改，并对整个批次进行了整合，以确保所有样本的一致性。由于给定样本中药物浓度的计算取决于药物与内标物的峰面积比，并且观察到药物和内标物的保留时间均有轻微偏移，因此此数据重新处理不会影响空腹研究H052-12的通过BE结果。</w:t>
      </w:r>
    </w:p>
    <w:p w14:paraId="70C90399">
      <w:pPr>
        <w:pStyle w:val="2"/>
        <w:widowControl/>
        <w:numPr>
          <w:ilvl w:val="0"/>
          <w:numId w:val="3"/>
        </w:numPr>
        <w:tabs>
          <w:tab w:val="left" w:pos="440"/>
        </w:tabs>
        <w:adjustRightInd w:val="0"/>
        <w:snapToGrid w:val="0"/>
        <w:spacing w:line="360" w:lineRule="auto"/>
        <w:jc w:val="both"/>
        <w:rPr>
          <w:rFonts w:ascii="宋体" w:hAnsi="宋体" w:eastAsia="宋体"/>
          <w:i w:val="0"/>
          <w:iCs/>
          <w:color w:val="000000" w:themeColor="text1"/>
          <w:sz w:val="28"/>
          <w:szCs w:val="28"/>
          <w14:textFill>
            <w14:solidFill>
              <w14:schemeClr w14:val="tx1"/>
            </w14:solidFill>
          </w14:textFill>
        </w:rPr>
      </w:pPr>
      <w:r>
        <w:rPr>
          <w:rFonts w:ascii="宋体" w:hAnsi="宋体" w:eastAsia="宋体"/>
          <w:i/>
          <w:color w:val="000000" w:themeColor="text1"/>
          <w:sz w:val="28"/>
          <w:szCs w:val="28"/>
          <w14:textFill>
            <w14:solidFill>
              <w14:schemeClr w14:val="tx1"/>
            </w14:solidFill>
          </w14:textFill>
        </w:rPr>
        <w:t>为什么受试者02和03重复分析的运行28未通过缬沙坦校准曲线:</w:t>
      </w:r>
      <w:r>
        <w:rPr>
          <w:rFonts w:ascii="宋体" w:hAnsi="宋体" w:eastAsia="宋体"/>
          <w:i w:val="0"/>
          <w:iCs/>
          <w:color w:val="000000" w:themeColor="text1"/>
          <w:sz w:val="28"/>
          <w:szCs w:val="28"/>
          <w14:textFill>
            <w14:solidFill>
              <w14:schemeClr w14:val="tx1"/>
            </w14:solidFill>
          </w14:textFill>
        </w:rPr>
        <w:t>经过调查，GVK认为缬沙坦校准曲线未通过可能是由于将血浆样本移至小瓶、添加内标物、添加提取溶剂、涡旋、转移上清液、蒸发和重构残留物过程中可能出现的一些样本制备错误。失败不是由于分析错误，如色谱分析不良和/或内部标准偏差。对于HCTZ分析，未出现可能的样本制备错误。根据项目样本分析、数据检查和验收标准的SOP BR016，接受了针对HCTZ生成的数据，而将针对受试者02和03重新分析缬沙坦。</w:t>
      </w:r>
    </w:p>
    <w:p w14:paraId="12CE6B00"/>
    <w:p w14:paraId="185AC69E">
      <w:pPr>
        <w:pStyle w:val="2"/>
        <w:widowControl/>
        <w:numPr>
          <w:ilvl w:val="0"/>
          <w:numId w:val="0"/>
        </w:numPr>
        <w:tabs>
          <w:tab w:val="left" w:pos="440"/>
        </w:tabs>
        <w:adjustRightInd w:val="0"/>
        <w:snapToGrid w:val="0"/>
        <w:spacing w:line="360" w:lineRule="auto"/>
        <w:jc w:val="both"/>
        <w:rPr>
          <w:rFonts w:eastAsia="宋体" w:cs="Times New Roman"/>
          <w:color w:val="000000" w:themeColor="text1"/>
          <w14:textFill>
            <w14:solidFill>
              <w14:schemeClr w14:val="tx1"/>
            </w14:solidFill>
          </w14:textFill>
        </w:rPr>
      </w:pPr>
    </w:p>
    <w:p w14:paraId="5E13ABEF">
      <w:pPr>
        <w:pStyle w:val="2"/>
        <w:widowControl/>
        <w:numPr>
          <w:ilvl w:val="0"/>
          <w:numId w:val="0"/>
        </w:numPr>
        <w:tabs>
          <w:tab w:val="left" w:pos="440"/>
        </w:tabs>
        <w:adjustRightInd w:val="0"/>
        <w:snapToGrid w:val="0"/>
        <w:spacing w:line="360" w:lineRule="auto"/>
        <w:jc w:val="both"/>
        <w:rPr>
          <w:rFonts w:eastAsia="宋体" w:cs="Times New Roman"/>
          <w:color w:val="000000" w:themeColor="text1"/>
          <w14:textFill>
            <w14:solidFill>
              <w14:schemeClr w14:val="tx1"/>
            </w14:solidFill>
          </w14:textFill>
        </w:rPr>
      </w:pPr>
    </w:p>
    <w:p w14:paraId="361831AC">
      <w:pPr>
        <w:rPr>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6136D5"/>
    <w:multiLevelType w:val="multilevel"/>
    <w:tmpl w:val="126136D5"/>
    <w:lvl w:ilvl="0" w:tentative="0">
      <w:start w:val="1"/>
      <w:numFmt w:val="bullet"/>
      <w:lvlText w:val=""/>
      <w:lvlJc w:val="left"/>
      <w:pPr>
        <w:ind w:left="900" w:hanging="420"/>
      </w:pPr>
      <w:rPr>
        <w:rFonts w:hint="default" w:ascii="Wingdings" w:hAnsi="Wingdings" w:eastAsia="Wingdings"/>
        <w:sz w:val="18"/>
        <w:szCs w:val="18"/>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324827D3"/>
    <w:multiLevelType w:val="multilevel"/>
    <w:tmpl w:val="324827D3"/>
    <w:lvl w:ilvl="0" w:tentative="0">
      <w:start w:val="1"/>
      <w:numFmt w:val="bullet"/>
      <w:lvlText w:val=""/>
      <w:lvlJc w:val="left"/>
      <w:pPr>
        <w:ind w:left="900" w:hanging="420"/>
      </w:pPr>
      <w:rPr>
        <w:rFonts w:hint="default" w:ascii="Wingdings" w:hAnsi="Wingdings" w:eastAsia="Wingdings"/>
        <w:sz w:val="18"/>
        <w:szCs w:val="18"/>
      </w:rPr>
    </w:lvl>
    <w:lvl w:ilvl="1" w:tentative="0">
      <w:start w:val="0"/>
      <w:numFmt w:val="bullet"/>
      <w:lvlText w:val=""/>
      <w:lvlJc w:val="left"/>
      <w:pPr>
        <w:ind w:left="1695" w:hanging="795"/>
      </w:pPr>
      <w:rPr>
        <w:rFonts w:hint="default" w:ascii="Times New Roman" w:hAnsi="Times New Roman" w:eastAsia="宋体" w:cs="Times New Roman"/>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7D89424D"/>
    <w:multiLevelType w:val="multilevel"/>
    <w:tmpl w:val="7D89424D"/>
    <w:lvl w:ilvl="0" w:tentative="0">
      <w:start w:val="1"/>
      <w:numFmt w:val="bullet"/>
      <w:lvlText w:val=""/>
      <w:lvlJc w:val="left"/>
      <w:pPr>
        <w:ind w:left="900" w:hanging="420"/>
      </w:pPr>
      <w:rPr>
        <w:rFonts w:hint="default" w:ascii="Wingdings" w:hAnsi="Wingdings" w:eastAsia="Wingdings"/>
        <w:sz w:val="18"/>
        <w:szCs w:val="18"/>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713E03"/>
    <w:rsid w:val="45950BEA"/>
    <w:rsid w:val="575F65F7"/>
    <w:rsid w:val="6C225140"/>
    <w:rsid w:val="76AC2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520"/>
    </w:pPr>
    <w:rPr>
      <w:rFonts w:ascii="Times New Roman" w:hAnsi="Times New Roman" w:eastAsia="Times New Roman"/>
      <w:sz w:val="24"/>
      <w:szCs w:val="24"/>
    </w:rPr>
  </w:style>
  <w:style w:type="paragraph" w:customStyle="1" w:styleId="5">
    <w:name w:val="标题 11"/>
    <w:basedOn w:val="1"/>
    <w:qFormat/>
    <w:uiPriority w:val="1"/>
    <w:pPr>
      <w:ind w:left="520"/>
      <w:outlineLvl w:val="1"/>
    </w:pPr>
    <w:rPr>
      <w:rFonts w:ascii="Times New Roman" w:hAnsi="Times New Roman" w:eastAsia="Times New Roman"/>
      <w:b/>
      <w:bCs/>
      <w:sz w:val="24"/>
      <w:szCs w:val="24"/>
    </w:rPr>
  </w:style>
  <w:style w:type="paragraph" w:styleId="6">
    <w:name w:val="List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1829</Words>
  <Characters>4939</Characters>
  <Lines>0</Lines>
  <Paragraphs>0</Paragraphs>
  <TotalTime>0</TotalTime>
  <ScaleCrop>false</ScaleCrop>
  <LinksUpToDate>false</LinksUpToDate>
  <CharactersWithSpaces>5613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小秋</cp:lastModifiedBy>
  <dcterms:modified xsi:type="dcterms:W3CDTF">2025-10-14T14:10:15Z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7FB246AE0DCF4281ACC35B6AF3E19E85</vt:lpwstr>
  </property>
  <property fmtid="{D5CDD505-2E9C-101B-9397-08002B2CF9AE}" pid="4" name="KSOTemplateDocerSaveRecord">
    <vt:lpwstr>eyJoZGlkIjoiNGI1YjRlNzI0NDg5ZGU0OWM1NGExZDU5MmI4YjJhMzMiLCJ1c2VySWQiOiIyNjc2NzUzNjcifQ==</vt:lpwstr>
  </property>
</Properties>
</file>