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FA32">
      <w:pPr>
        <w:adjustRightInd w:val="0"/>
        <w:snapToGrid w:val="0"/>
        <w:spacing w:beforeLines="50" w:afterLines="50" w:line="240" w:lineRule="auto"/>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 xml:space="preserve">18英语1班 20181507119陈珂 </w:t>
      </w:r>
    </w:p>
    <w:p w14:paraId="107C3B6A">
      <w:pPr>
        <w:adjustRightInd w:val="0"/>
        <w:snapToGrid w:val="0"/>
        <w:spacing w:beforeLines="50" w:afterLines="50" w:line="240" w:lineRule="auto"/>
        <w:jc w:val="both"/>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原文：</w:t>
      </w:r>
    </w:p>
    <w:p w14:paraId="713D6842">
      <w:pPr>
        <w:adjustRightInd w:val="0"/>
        <w:snapToGrid w:val="0"/>
        <w:spacing w:beforeLines="50" w:afterLines="50" w:line="240" w:lineRule="auto"/>
        <w:jc w:val="center"/>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台式激光打印机通用规范</w:t>
      </w:r>
    </w:p>
    <w:p w14:paraId="449C9700">
      <w:pPr>
        <w:pStyle w:val="2"/>
        <w:spacing w:before="120" w:after="120"/>
        <w:rPr>
          <w:sz w:val="28"/>
          <w:szCs w:val="28"/>
        </w:rPr>
      </w:pPr>
      <w:bookmarkStart w:id="0" w:name="_Toc44945377"/>
      <w:r>
        <w:rPr>
          <w:sz w:val="28"/>
          <w:szCs w:val="28"/>
        </w:rPr>
        <w:t>1</w:t>
      </w:r>
      <w:r>
        <w:rPr>
          <w:rFonts w:hint="eastAsia"/>
          <w:sz w:val="28"/>
          <w:szCs w:val="28"/>
        </w:rPr>
        <w:t xml:space="preserve"> </w:t>
      </w:r>
      <w:r>
        <w:rPr>
          <w:sz w:val="28"/>
          <w:szCs w:val="28"/>
        </w:rPr>
        <w:t>范围</w:t>
      </w:r>
      <w:bookmarkEnd w:id="0"/>
    </w:p>
    <w:p w14:paraId="70595B91">
      <w:pPr>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本标准规定了台式激光打印机的要求、试验方法、质量评定程序及标志、包装、运输和贮存等。本标准适用于台式激光打印机（以下简称：产品）的设计和制造。本标准是制定产品标准的依据。</w:t>
      </w:r>
    </w:p>
    <w:p w14:paraId="00A2B183">
      <w:pPr>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其他类型的静电成像方式打印机可参照执行。</w:t>
      </w:r>
    </w:p>
    <w:p w14:paraId="64D43D75">
      <w:pPr>
        <w:pStyle w:val="2"/>
        <w:spacing w:before="120" w:after="120"/>
        <w:rPr>
          <w:sz w:val="28"/>
          <w:szCs w:val="28"/>
        </w:rPr>
      </w:pPr>
      <w:bookmarkStart w:id="1" w:name="_Toc44945378"/>
      <w:r>
        <w:rPr>
          <w:sz w:val="28"/>
          <w:szCs w:val="28"/>
        </w:rPr>
        <w:t>2</w:t>
      </w:r>
      <w:r>
        <w:rPr>
          <w:rFonts w:hint="eastAsia"/>
          <w:sz w:val="28"/>
          <w:szCs w:val="28"/>
        </w:rPr>
        <w:t xml:space="preserve"> </w:t>
      </w:r>
      <w:r>
        <w:rPr>
          <w:sz w:val="28"/>
          <w:szCs w:val="28"/>
        </w:rPr>
        <w:t>规范性引用文件</w:t>
      </w:r>
      <w:bookmarkEnd w:id="1"/>
    </w:p>
    <w:p w14:paraId="0B349272">
      <w:pPr>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下列文件对于本文件的应用是必不可少的。凡是注日期的引用文件，仅注日期的版本适用于本文件。凡是不注日期的引用文件，其最新版本（包括所有的修改单）适用于本文件。</w:t>
      </w:r>
    </w:p>
    <w:p w14:paraId="3FC92F64">
      <w:pPr>
        <w:tabs>
          <w:tab w:val="left" w:pos="15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包装储运图示标志</w:t>
      </w:r>
    </w:p>
    <w:p w14:paraId="396D6398">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1988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信息交换用七位编码字符集</w:t>
      </w:r>
    </w:p>
    <w:p w14:paraId="5C3DB2C0">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2421.1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概述和指南</w:t>
      </w:r>
    </w:p>
    <w:p w14:paraId="5C554DD3">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试验方法编写导则</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术语和定义</w:t>
      </w:r>
    </w:p>
    <w:p w14:paraId="54C66FF1">
      <w:pPr>
        <w:tabs>
          <w:tab w:val="left" w:pos="1900"/>
          <w:tab w:val="left" w:pos="4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试验A</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低温</w:t>
      </w:r>
    </w:p>
    <w:p w14:paraId="33AF03CD">
      <w:pPr>
        <w:tabs>
          <w:tab w:val="left" w:pos="1900"/>
          <w:tab w:val="left" w:pos="4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试验B</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高温</w:t>
      </w:r>
    </w:p>
    <w:p w14:paraId="4B059FF9">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2423.3</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试验Cab</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恒定湿热试验</w:t>
      </w:r>
    </w:p>
    <w:p w14:paraId="1AAD06A3">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试验Ea和导则</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冲击</w:t>
      </w:r>
    </w:p>
    <w:p w14:paraId="6FA0D59C">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2423.10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试验Fc</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振动(正弦)</w:t>
      </w:r>
    </w:p>
    <w:p w14:paraId="34C5A817">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4857.2—2005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包装运输包装件基本试验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第2部分：温湿度调节处理</w:t>
      </w:r>
    </w:p>
    <w:p w14:paraId="4B22F6ED">
      <w:pPr>
        <w:tabs>
          <w:tab w:val="left" w:pos="1900"/>
          <w:tab w:val="left" w:pos="36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4857.5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运输包装件</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跌落试验方法</w:t>
      </w:r>
    </w:p>
    <w:p w14:paraId="345B5ADC">
      <w:pPr>
        <w:tabs>
          <w:tab w:val="left" w:pos="1680"/>
          <w:tab w:val="left" w:pos="3160"/>
          <w:tab w:val="left" w:pos="37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4943.1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安全</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第1部分：通用要求</w:t>
      </w:r>
    </w:p>
    <w:p w14:paraId="675C98ED">
      <w:pPr>
        <w:tabs>
          <w:tab w:val="left" w:pos="1900"/>
          <w:tab w:val="left" w:pos="35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5080.7</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设备可靠性试验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恒定失效率假设下的失效率与平均无故障时间的验证试验方案</w:t>
      </w:r>
    </w:p>
    <w:p w14:paraId="057F8EDB">
      <w:pPr>
        <w:tabs>
          <w:tab w:val="left" w:pos="2000"/>
          <w:tab w:val="left" w:pos="3040"/>
          <w:tab w:val="left" w:pos="36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5271.14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词汇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第14部分：可靠性、可维护性与可用性</w:t>
      </w:r>
    </w:p>
    <w:p w14:paraId="68145713">
      <w:pPr>
        <w:tabs>
          <w:tab w:val="left" w:pos="14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9254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信息技术设备的无线电骚扰限值和测量方法</w:t>
      </w:r>
    </w:p>
    <w:p w14:paraId="6E04C18C">
      <w:pPr>
        <w:tabs>
          <w:tab w:val="left" w:pos="1800"/>
          <w:tab w:val="left" w:pos="284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11460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汉字字型要求和检测方法</w:t>
      </w:r>
    </w:p>
    <w:p w14:paraId="04DB1BDA">
      <w:pPr>
        <w:tabs>
          <w:tab w:val="left" w:pos="1580"/>
          <w:tab w:val="left" w:pos="264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15934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电器附件</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电线组件和互连电线组件</w:t>
      </w:r>
    </w:p>
    <w:p w14:paraId="7ACA64FA">
      <w:pPr>
        <w:tabs>
          <w:tab w:val="left" w:pos="232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16685-2008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办公设备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打印设备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吞吐量的测量方法1类和2类打印机（ISO/IEC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10561:1999，IDT）</w:t>
      </w:r>
    </w:p>
    <w:p w14:paraId="5C493016">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17618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信息技术设备抗扰度限值和测量方法</w:t>
      </w:r>
    </w:p>
    <w:p w14:paraId="78C53C59">
      <w:pPr>
        <w:tabs>
          <w:tab w:val="left" w:pos="2420"/>
          <w:tab w:val="left" w:pos="40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17625.1—2012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电磁兼容</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限值</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谐波电流发射限值（设备每相输入电流≤16A）</w:t>
      </w:r>
    </w:p>
    <w:p w14:paraId="54EA278D">
      <w:pPr>
        <w:tabs>
          <w:tab w:val="left" w:pos="15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18030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中文编码字符集</w:t>
      </w:r>
    </w:p>
    <w:p w14:paraId="3F397065">
      <w:pPr>
        <w:tabs>
          <w:tab w:val="left" w:pos="2420"/>
          <w:tab w:val="left" w:pos="304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18313—2001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声学</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信息技术设备和通信设备空气噪声的测量</w:t>
      </w:r>
    </w:p>
    <w:p w14:paraId="55236F8E">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18455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包装回收标志</w:t>
      </w:r>
    </w:p>
    <w:p w14:paraId="7CC0AA26">
      <w:pPr>
        <w:tabs>
          <w:tab w:val="left" w:pos="15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21521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复印机、打印机和传真机能效限定值及能效等级</w:t>
      </w:r>
    </w:p>
    <w:p w14:paraId="3EAFF6C1">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22372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单色黑白激光打印机测试版</w:t>
      </w:r>
    </w:p>
    <w:p w14:paraId="2A48F8D3">
      <w:pPr>
        <w:tabs>
          <w:tab w:val="left" w:pos="1740"/>
          <w:tab w:val="left" w:pos="322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26125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电子电气产品</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六种限用物质(铅、汞、镉、六价铬、多溴联苯和多溴二苯醚)的测定</w:t>
      </w:r>
    </w:p>
    <w:p w14:paraId="5E6BBE89">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26572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电子电气产品中限用物质的限量要求</w:t>
      </w:r>
    </w:p>
    <w:p w14:paraId="6880990A">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28033</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单色激光打印机印品质量综合评价方法</w:t>
      </w:r>
    </w:p>
    <w:p w14:paraId="07C56E17">
      <w:pPr>
        <w:tabs>
          <w:tab w:val="left" w:pos="180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32417</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用于老年人和残疾人的办公设备可访问性指南</w:t>
      </w:r>
    </w:p>
    <w:p w14:paraId="019002E4">
      <w:pPr>
        <w:tabs>
          <w:tab w:val="left" w:pos="1680"/>
        </w:tabs>
        <w:adjustRightInd w:val="0"/>
        <w:snapToGrid w:val="0"/>
        <w:spacing w:beforeLines="50" w:afterLines="50" w:line="240" w:lineRule="auto"/>
        <w:jc w:val="both"/>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AAAA</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彩色激光打印机测试版</w:t>
      </w:r>
    </w:p>
    <w:p w14:paraId="62F0D129">
      <w:pPr>
        <w:tabs>
          <w:tab w:val="left" w:pos="1680"/>
        </w:tabs>
        <w:adjustRightInd w:val="0"/>
        <w:snapToGrid w:val="0"/>
        <w:spacing w:beforeLines="50" w:afterLines="50" w:line="240" w:lineRule="auto"/>
        <w:jc w:val="both"/>
        <w:rPr>
          <w:rFonts w:ascii="Times New Roman" w:hAnsi="Times New Roman" w:eastAsia="宋体" w:cs="Times New Roman"/>
          <w:sz w:val="28"/>
          <w:szCs w:val="28"/>
        </w:rPr>
      </w:pPr>
      <w:r>
        <w:rPr>
          <w:rFonts w:ascii="Times New Roman" w:hAnsi="Times New Roman" w:eastAsia="宋体" w:cs="Times New Roman"/>
          <w:sz w:val="28"/>
          <w:szCs w:val="28"/>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BBBB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彩色激光打印机印品质量评价方法</w:t>
      </w:r>
    </w:p>
    <w:p w14:paraId="6E5E53A2">
      <w:pPr>
        <w:adjustRightInd w:val="0"/>
        <w:snapToGrid w:val="0"/>
        <w:spacing w:beforeLines="50" w:afterLines="50" w:line="240" w:lineRule="auto"/>
        <w:jc w:val="both"/>
        <w:rPr>
          <w:rFonts w:ascii="Times New Roman" w:hAnsi="Times New Roman" w:eastAsia="宋体" w:cs="Times New Roman"/>
          <w:sz w:val="28"/>
          <w:szCs w:val="28"/>
        </w:rPr>
      </w:pPr>
      <w:r>
        <w:rPr>
          <w:rFonts w:ascii="Times New Roman" w:hAnsi="Times New Roman" w:eastAsia="宋体" w:cs="Times New Roman"/>
          <w:sz w:val="28"/>
          <w:szCs w:val="28"/>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19752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办公设备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单色电子成像打印机和包含打印组件的多功能设备用鼓粉盒打印页产量的测定方法(Information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technology－Office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equipment－Method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the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determination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of</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toner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cartridge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yield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monochromatic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electrophotographic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printers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and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multi-function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devices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that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contain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printer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components)</w:t>
      </w:r>
    </w:p>
    <w:p w14:paraId="7169D21A">
      <w:pPr>
        <w:adjustRightInd w:val="0"/>
        <w:snapToGrid w:val="0"/>
        <w:spacing w:beforeLines="50" w:afterLines="50" w:line="240" w:lineRule="auto"/>
        <w:jc w:val="both"/>
        <w:rPr>
          <w:rFonts w:ascii="Times New Roman" w:hAnsi="Times New Roman" w:eastAsia="宋体" w:cs="Times New Roman"/>
          <w:sz w:val="28"/>
          <w:szCs w:val="28"/>
        </w:rPr>
      </w:pPr>
      <w:r>
        <w:rPr>
          <w:rFonts w:ascii="Times New Roman" w:hAnsi="Times New Roman" w:eastAsia="宋体" w:cs="Times New Roman"/>
          <w:sz w:val="28"/>
          <w:szCs w:val="28"/>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24712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测量办公设备消耗量的彩色测试版(Colour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test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pages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measurement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of</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office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equipment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consumable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yield)</w:t>
      </w:r>
    </w:p>
    <w:p w14:paraId="56A66C4D">
      <w:pPr>
        <w:adjustRightInd w:val="0"/>
        <w:snapToGrid w:val="0"/>
        <w:spacing w:beforeLines="50" w:afterLines="50" w:line="240" w:lineRule="auto"/>
        <w:jc w:val="both"/>
        <w:rPr>
          <w:rFonts w:hint="eastAsia" w:ascii="Times New Roman" w:hAnsi="Times New Roman" w:eastAsia="宋体" w:cs="Times New Roman"/>
          <w:sz w:val="28"/>
          <w:szCs w:val="28"/>
          <w:lang w:val="en-US" w:eastAsia="zh-CN"/>
        </w:rPr>
      </w:pPr>
    </w:p>
    <w:p w14:paraId="5922D5A4">
      <w:pPr>
        <w:adjustRightInd w:val="0"/>
        <w:snapToGrid w:val="0"/>
        <w:spacing w:beforeLines="50" w:afterLines="50" w:line="240" w:lineRule="auto"/>
        <w:jc w:val="both"/>
        <w:rPr>
          <w:rFonts w:hint="eastAsia" w:ascii="Times New Roman" w:hAnsi="Times New Roman" w:eastAsia="宋体" w:cs="Times New Roman"/>
          <w:sz w:val="28"/>
          <w:szCs w:val="28"/>
          <w:lang w:val="en-US" w:eastAsia="zh-CN"/>
        </w:rPr>
      </w:pPr>
    </w:p>
    <w:p w14:paraId="2B5878D9">
      <w:pPr>
        <w:adjustRightInd w:val="0"/>
        <w:snapToGrid w:val="0"/>
        <w:spacing w:beforeLines="50" w:afterLines="50" w:line="240" w:lineRule="auto"/>
        <w:jc w:val="both"/>
        <w:rPr>
          <w:rFonts w:hint="eastAsia" w:ascii="Times New Roman" w:hAnsi="Times New Roman" w:eastAsia="宋体" w:cs="Times New Roman"/>
          <w:sz w:val="28"/>
          <w:szCs w:val="28"/>
          <w:lang w:val="en-US" w:eastAsia="zh-CN"/>
        </w:rPr>
      </w:pPr>
      <w:bookmarkStart w:id="2" w:name="_GoBack"/>
      <w:bookmarkEnd w:id="2"/>
      <w:r>
        <w:rPr>
          <w:rFonts w:hint="eastAsia" w:ascii="Times New Roman" w:hAnsi="Times New Roman" w:eastAsia="宋体" w:cs="Times New Roman"/>
          <w:sz w:val="28"/>
          <w:szCs w:val="28"/>
          <w:lang w:val="en-US" w:eastAsia="zh-CN"/>
        </w:rPr>
        <w:t>译文：</w:t>
      </w:r>
    </w:p>
    <w:p w14:paraId="0C35684D">
      <w:pPr>
        <w:adjustRightInd w:val="0"/>
        <w:snapToGrid w:val="0"/>
        <w:spacing w:beforeLines="50" w:afterLines="50" w:line="240" w:lineRule="auto"/>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General specification for desktop laser printer</w:t>
      </w:r>
    </w:p>
    <w:p w14:paraId="7A96F09E">
      <w:pPr>
        <w:pStyle w:val="2"/>
        <w:spacing w:before="120" w:after="120"/>
        <w:rPr>
          <w:sz w:val="28"/>
          <w:szCs w:val="28"/>
        </w:rPr>
      </w:pPr>
      <w:r>
        <w:rPr>
          <w:rFonts w:ascii="Times New Roman" w:hAnsi="Times New Roman" w:cs="Times New Roman"/>
          <w:sz w:val="28"/>
          <w:szCs w:val="28"/>
        </w:rPr>
        <w:t>1 range</w:t>
      </w:r>
    </w:p>
    <w:p w14:paraId="4FB262FF">
      <w:pPr>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This standard specifies the requirements, test methods, quality evaluation procedures, marking, packaging, transportation and storage of desktop laser printers. This standard is applicable to the design and manufacture of desktop laser printers (hereinafter referred to as products). This standard is the basis for formulating product standards.</w:t>
      </w:r>
    </w:p>
    <w:p w14:paraId="559F3D99">
      <w:pPr>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Other types of electrostatic imaging printers can refer to the implementation.</w:t>
      </w:r>
    </w:p>
    <w:p w14:paraId="3C202B47">
      <w:pPr>
        <w:pStyle w:val="2"/>
        <w:spacing w:before="120" w:after="120"/>
        <w:rPr>
          <w:sz w:val="28"/>
          <w:szCs w:val="28"/>
        </w:rPr>
      </w:pPr>
      <w:r>
        <w:rPr>
          <w:rFonts w:ascii="Times New Roman" w:hAnsi="Times New Roman" w:cs="Times New Roman"/>
          <w:sz w:val="28"/>
          <w:szCs w:val="28"/>
        </w:rPr>
        <w:t>2 normative reference documents</w:t>
      </w:r>
    </w:p>
    <w:p w14:paraId="18EB1888">
      <w:pPr>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The following documents are essential for the application of this document. For all dated references, only the dated version is applicable to this document. For undated references, the latest version (including all amendments) is applicable to this document.</w:t>
      </w:r>
    </w:p>
    <w:p w14:paraId="3814EF33">
      <w:pPr>
        <w:tabs>
          <w:tab w:val="left" w:pos="15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Graphical symbols for packaging, storage and transportation</w:t>
      </w:r>
    </w:p>
    <w:p w14:paraId="27EA368B">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Information technology-Seven-bit coded character set for information interchange</w:t>
      </w:r>
    </w:p>
    <w:p w14:paraId="67D7E2DC">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2421.1 overview and guide of environmental test for electrical and electronic products</w:t>
      </w:r>
    </w:p>
    <w:p w14:paraId="6570F6B0">
      <w:pPr>
        <w:tabs>
          <w:tab w:val="left" w:pos="1680"/>
          <w:tab w:val="left" w:pos="1900"/>
          <w:tab w:val="left" w:pos="2740"/>
          <w:tab w:val="left" w:pos="4200"/>
          <w:tab w:val="left" w:pos="452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2422 Guidelines for compiling environmental test methods Terms and definitions</w:t>
      </w:r>
    </w:p>
    <w:p w14:paraId="7A569579">
      <w:pPr>
        <w:tabs>
          <w:tab w:val="left" w:pos="1900"/>
          <w:tab w:val="left" w:pos="4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2423.1 environmental test of electrical and electronic products part 2: test methods test a: low temperature</w:t>
      </w:r>
    </w:p>
    <w:p w14:paraId="3495CB81">
      <w:pPr>
        <w:tabs>
          <w:tab w:val="left" w:pos="1900"/>
          <w:tab w:val="left" w:pos="4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2423.2 environmental test of electrical and electronic products part 2: test methods test b: high temperature</w:t>
      </w:r>
    </w:p>
    <w:p w14:paraId="1754E33B">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2423.3 environmental test of electrical and electronic products part 2: test methods test Cab: constant damp-heat test</w:t>
      </w:r>
    </w:p>
    <w:p w14:paraId="0B53F448">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2423.5 environmental tests of electrical and electronic products-part 2: test methods-test Ea and guidelines: shock</w:t>
      </w:r>
    </w:p>
    <w:p w14:paraId="7EC1981B">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2423.10 environmental test of electrical and electronic products part 2: test methods test Fc: vibration (sine)</w:t>
      </w:r>
    </w:p>
    <w:p w14:paraId="3340E027">
      <w:pPr>
        <w:tabs>
          <w:tab w:val="left" w:pos="1900"/>
          <w:tab w:val="left" w:pos="2000"/>
          <w:tab w:val="left" w:pos="2520"/>
          <w:tab w:val="left" w:pos="4200"/>
          <w:tab w:val="left" w:pos="5160"/>
          <w:tab w:val="left" w:pos="62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4857.2—2005 Basic Test of Packaging, Transportation and Packaging Part 2: Temperature and humidity adjustment treatment</w:t>
      </w:r>
    </w:p>
    <w:p w14:paraId="6F1E308B">
      <w:pPr>
        <w:tabs>
          <w:tab w:val="left" w:pos="1900"/>
          <w:tab w:val="left" w:pos="36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4857.5 drop test method for packaging and transportation packages</w:t>
      </w:r>
    </w:p>
    <w:p w14:paraId="7B3680F2">
      <w:pPr>
        <w:tabs>
          <w:tab w:val="left" w:pos="1680"/>
          <w:tab w:val="left" w:pos="3160"/>
          <w:tab w:val="left" w:pos="37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4943.1 information technology equipment safety part 1: general requirements</w:t>
      </w:r>
    </w:p>
    <w:p w14:paraId="7F750654">
      <w:pPr>
        <w:tabs>
          <w:tab w:val="left" w:pos="1900"/>
          <w:tab w:val="left" w:pos="35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5080.7 verification test scheme of failure rate and mean time between failures under the assumption of constant failure rate in equipment reliability test</w:t>
      </w:r>
    </w:p>
    <w:p w14:paraId="68BF26C5">
      <w:pPr>
        <w:tabs>
          <w:tab w:val="left" w:pos="2000"/>
          <w:tab w:val="left" w:pos="3040"/>
          <w:tab w:val="left" w:pos="36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5271.14 information technology vocabulary part 14: reliability, maintainability and availability</w:t>
      </w:r>
    </w:p>
    <w:p w14:paraId="062C3BF2">
      <w:pPr>
        <w:tabs>
          <w:tab w:val="left" w:pos="14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9254 radio disturbance limits and measurement methods of information technology equipment</w:t>
      </w:r>
    </w:p>
    <w:p w14:paraId="3AE9849F">
      <w:pPr>
        <w:tabs>
          <w:tab w:val="left" w:pos="1800"/>
          <w:tab w:val="left" w:pos="284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11460 information technology-Chinese character font requirements and detection methods</w:t>
      </w:r>
    </w:p>
    <w:p w14:paraId="7AEB2BC6">
      <w:pPr>
        <w:tabs>
          <w:tab w:val="left" w:pos="1580"/>
          <w:tab w:val="left" w:pos="264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15934 electrical accessories, wire assemblies and interconnecting wire assemblies</w:t>
      </w:r>
    </w:p>
    <w:p w14:paraId="593E61A1">
      <w:pPr>
        <w:tabs>
          <w:tab w:val="left" w:pos="232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16685-2008 information technology-Office equipment-Measuring method of throughput of printing equipment-Class 1 and Class 2 printers (ISO/IEC 10561:1999, IDT)</w:t>
      </w:r>
    </w:p>
    <w:p w14:paraId="77605CDA">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17618 information technology equipment immunity limit and measurement method</w:t>
      </w:r>
    </w:p>
    <w:p w14:paraId="0260B79C">
      <w:pPr>
        <w:tabs>
          <w:tab w:val="left" w:pos="2420"/>
          <w:tab w:val="left" w:pos="40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17625.1—2012 electromagnetic compatibility limit harmonic current emission limit (input current per phase of equipment ≤16A)</w:t>
      </w:r>
    </w:p>
    <w:p w14:paraId="72156CDA">
      <w:pPr>
        <w:tabs>
          <w:tab w:val="left" w:pos="15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18030 information technology-Chinese coded character set</w:t>
      </w:r>
    </w:p>
    <w:p w14:paraId="57CEDAA3">
      <w:pPr>
        <w:tabs>
          <w:tab w:val="left" w:pos="2420"/>
          <w:tab w:val="left" w:pos="304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18313—2001 measurement of air noise of acoustic information technology equipment and communication equipment</w:t>
      </w:r>
    </w:p>
    <w:p w14:paraId="0B8E27CE">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18455 packaging recycling mark</w:t>
      </w:r>
    </w:p>
    <w:p w14:paraId="6725A517">
      <w:pPr>
        <w:tabs>
          <w:tab w:val="left" w:pos="15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 21521 energy efficiency limits and energy efficiency grades of photocopiers, printers and fax machines</w:t>
      </w:r>
    </w:p>
    <w:p w14:paraId="32D634C7">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22372 monochrome black-and-white laser printer test version</w:t>
      </w:r>
    </w:p>
    <w:p w14:paraId="5F85AC92">
      <w:pPr>
        <w:tabs>
          <w:tab w:val="left" w:pos="1740"/>
          <w:tab w:val="left" w:pos="322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26125 determination of six restricted substances (lead, mercury, cadmium, hexavalent chromium, polybrominated biphenyls and polybrominated diphenyl ethers) in electronic and electrical products</w:t>
      </w:r>
    </w:p>
    <w:p w14:paraId="2F9A07E0">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26572 limit requirements of restricted substances in electronic and electrical products</w:t>
      </w:r>
    </w:p>
    <w:p w14:paraId="70C0E159">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28033 comprehensive evaluation method of printing quality of monochrome laser printer</w:t>
      </w:r>
    </w:p>
    <w:p w14:paraId="01F542FE">
      <w:pPr>
        <w:tabs>
          <w:tab w:val="left" w:pos="180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32417 information technology-office equipment accessibility guide for the elderly and the disabled</w:t>
      </w:r>
    </w:p>
    <w:p w14:paraId="1A52B0C3">
      <w:pPr>
        <w:tabs>
          <w:tab w:val="left" w:pos="1680"/>
        </w:tabs>
        <w:adjustRightInd w:val="0"/>
        <w:snapToGrid w:val="0"/>
        <w:spacing w:beforeLines="50" w:afterLines="5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GB/T AAAA color laser printer beta</w:t>
      </w:r>
    </w:p>
    <w:p w14:paraId="63E41874">
      <w:pPr>
        <w:tabs>
          <w:tab w:val="left" w:pos="1680"/>
        </w:tabs>
        <w:adjustRightInd w:val="0"/>
        <w:snapToGrid w:val="0"/>
        <w:spacing w:beforeLines="50" w:afterLines="50" w:line="240" w:lineRule="auto"/>
        <w:jc w:val="both"/>
        <w:rPr>
          <w:rFonts w:ascii="Times New Roman" w:hAnsi="Times New Roman" w:cs="Times New Roman"/>
          <w:sz w:val="28"/>
          <w:szCs w:val="28"/>
        </w:rPr>
      </w:pPr>
      <w:r>
        <w:rPr>
          <w:rFonts w:ascii="Times New Roman" w:hAnsi="Times New Roman" w:cs="Times New Roman"/>
          <w:sz w:val="28"/>
          <w:szCs w:val="28"/>
        </w:rPr>
        <w:t>GB/T BBBB color laser printer printing quality evaluation method</w:t>
      </w:r>
    </w:p>
    <w:p w14:paraId="3388F009">
      <w:pPr>
        <w:adjustRightInd w:val="0"/>
        <w:snapToGrid w:val="0"/>
        <w:spacing w:beforeLines="50" w:afterLines="50" w:line="240" w:lineRule="auto"/>
        <w:jc w:val="both"/>
        <w:rPr>
          <w:rFonts w:ascii="Times New Roman" w:hAnsi="Times New Roman" w:cs="Times New Roman"/>
          <w:sz w:val="28"/>
          <w:szCs w:val="28"/>
        </w:rPr>
      </w:pPr>
      <w:r>
        <w:rPr>
          <w:rFonts w:ascii="Times New Roman" w:hAnsi="Times New Roman" w:cs="Times New Roman"/>
          <w:sz w:val="28"/>
          <w:szCs w:val="28"/>
        </w:rPr>
        <w:t>ISO/ IEC 19752 information technology office equipment monochrome electronic imaging printers and toner cartridges for multifunctional equipment containing printing components (information technology-office equipment-method for the determination of toner cartridge yield for monochromatic electrophotographic printers and multi-function devices that contain printer components)</w:t>
      </w:r>
    </w:p>
    <w:p w14:paraId="15929748">
      <w:pPr>
        <w:adjustRightInd w:val="0"/>
        <w:snapToGrid w:val="0"/>
        <w:spacing w:beforeLines="50" w:afterLines="50" w:line="240" w:lineRule="auto"/>
        <w:jc w:val="both"/>
        <w:rPr>
          <w:sz w:val="28"/>
          <w:szCs w:val="28"/>
        </w:rPr>
      </w:pPr>
      <w:r>
        <w:rPr>
          <w:rFonts w:ascii="Times New Roman" w:hAnsi="Times New Roman" w:cs="Times New Roman"/>
          <w:sz w:val="28"/>
          <w:szCs w:val="28"/>
        </w:rPr>
        <w:t>ISO/IEC 24712 color test pages for measurement of office equipment consumable yield.</w:t>
      </w:r>
    </w:p>
    <w:p w14:paraId="70278B12">
      <w:pPr>
        <w:adjustRightInd w:val="0"/>
        <w:snapToGrid w:val="0"/>
        <w:spacing w:beforeLines="50" w:afterLines="50" w:line="240" w:lineRule="auto"/>
        <w:jc w:val="both"/>
        <w:rPr>
          <w:rFonts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44CE"/>
    <w:rsid w:val="175B73C5"/>
    <w:rsid w:val="1F177A7A"/>
    <w:rsid w:val="260D0F34"/>
    <w:rsid w:val="35821254"/>
    <w:rsid w:val="5393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widowControl/>
      <w:tabs>
        <w:tab w:val="left" w:pos="420"/>
      </w:tabs>
      <w:adjustRightInd w:val="0"/>
      <w:snapToGrid w:val="0"/>
      <w:spacing w:beforeLines="50" w:afterLines="50" w:line="240" w:lineRule="auto"/>
      <w:jc w:val="both"/>
      <w:outlineLvl w:val="0"/>
    </w:pPr>
    <w:rPr>
      <w:rFonts w:ascii="Times New Roman" w:hAnsi="Times New Roman" w:eastAsia="宋体" w:cs="Times New Roman"/>
      <w:b/>
      <w:sz w:val="21"/>
      <w:szCs w:val="21"/>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1550</Words>
  <Characters>5228</Characters>
  <Lines>0</Lines>
  <Paragraphs>0</Paragraphs>
  <TotalTime>0</TotalTime>
  <ScaleCrop>false</ScaleCrop>
  <LinksUpToDate>false</LinksUpToDate>
  <CharactersWithSpaces>5880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352464D408EF479898517160715B3088</vt:lpwstr>
  </property>
  <property fmtid="{D5CDD505-2E9C-101B-9397-08002B2CF9AE}" pid="4" name="KSOTemplateDocerSaveRecord">
    <vt:lpwstr>eyJoZGlkIjoiNGI1YjRlNzI0NDg5ZGU0OWM1NGExZDU5MmI4YjJhMzMiLCJ1c2VySWQiOiIyNjc2NzUzNjcifQ==</vt:lpwstr>
  </property>
</Properties>
</file>